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4ADD" w14:textId="77777777" w:rsidR="00356370" w:rsidRPr="006129F8" w:rsidRDefault="00356370" w:rsidP="00356370">
      <w:pPr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Laura Tafani</w:t>
      </w:r>
    </w:p>
    <w:p w14:paraId="76919B79" w14:textId="507FBB16" w:rsidR="00356370" w:rsidRPr="00D30ECB" w:rsidRDefault="00D30ECB" w:rsidP="00356370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>
        <w:rPr>
          <w:rFonts w:ascii="Garamond" w:eastAsia="Times New Roman" w:hAnsi="Garamond" w:cstheme="minorHAnsi"/>
          <w:color w:val="000000" w:themeColor="text1"/>
          <w:lang w:eastAsia="it-IT"/>
        </w:rPr>
        <w:t>e</w:t>
      </w:r>
      <w:r w:rsidR="00356370" w:rsidRPr="006129F8">
        <w:rPr>
          <w:rFonts w:ascii="Garamond" w:eastAsia="Times New Roman" w:hAnsi="Garamond" w:cstheme="minorHAnsi"/>
          <w:color w:val="000000" w:themeColor="text1"/>
          <w:lang w:eastAsia="it-IT"/>
        </w:rPr>
        <w:t>-mail: laura.tafani64@gmail.com</w:t>
      </w:r>
    </w:p>
    <w:p w14:paraId="6DD55A4E" w14:textId="6006344D" w:rsidR="00356370" w:rsidRDefault="00356370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>
        <w:rPr>
          <w:rFonts w:ascii="Garamond" w:eastAsia="Times New Roman" w:hAnsi="Garamond" w:cstheme="minorHAnsi"/>
          <w:color w:val="000000" w:themeColor="text1"/>
          <w:lang w:eastAsia="it-IT"/>
        </w:rPr>
        <w:t>2022 -… Segretaria generale della Fondazione Nicola Irti.</w:t>
      </w:r>
    </w:p>
    <w:p w14:paraId="7AE853BE" w14:textId="68A58D52" w:rsidR="00361B96" w:rsidRPr="006129F8" w:rsidRDefault="00361B96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1987</w:t>
      </w:r>
      <w:r w:rsidR="00356370">
        <w:rPr>
          <w:rFonts w:ascii="Garamond" w:eastAsia="Times New Roman" w:hAnsi="Garamond" w:cstheme="minorHAnsi"/>
          <w:color w:val="000000" w:themeColor="text1"/>
          <w:lang w:eastAsia="it-IT"/>
        </w:rPr>
        <w:t>-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2018</w:t>
      </w:r>
      <w:r w:rsidR="00356370">
        <w:rPr>
          <w:rFonts w:ascii="Garamond" w:eastAsia="Times New Roman" w:hAnsi="Garamond" w:cstheme="minorHAnsi"/>
          <w:color w:val="000000" w:themeColor="text1"/>
          <w:lang w:eastAsia="it-IT"/>
        </w:rPr>
        <w:t>.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 xml:space="preserve"> </w:t>
      </w:r>
      <w:r w:rsidR="00356370">
        <w:rPr>
          <w:rFonts w:ascii="Garamond" w:eastAsia="Times New Roman" w:hAnsi="Garamond" w:cstheme="minorHAnsi"/>
          <w:color w:val="000000" w:themeColor="text1"/>
          <w:lang w:eastAsia="it-IT"/>
        </w:rPr>
        <w:t>C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onsigliere parlamentare nei ruoli del Senato</w:t>
      </w:r>
      <w:r w:rsidR="00356370">
        <w:rPr>
          <w:rFonts w:ascii="Garamond" w:eastAsia="Times New Roman" w:hAnsi="Garamond" w:cstheme="minorHAnsi"/>
          <w:color w:val="000000" w:themeColor="text1"/>
          <w:lang w:eastAsia="it-IT"/>
        </w:rPr>
        <w:t>, responsabile da ultimo del Servizio per la qualità degli atti normativi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.</w:t>
      </w:r>
    </w:p>
    <w:p w14:paraId="69029670" w14:textId="77777777" w:rsidR="00361B96" w:rsidRPr="006129F8" w:rsidRDefault="00361B96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 w:rsidRPr="006129F8">
        <w:rPr>
          <w:rFonts w:ascii="Garamond" w:eastAsia="Times New Roman" w:hAnsi="Garamond" w:cstheme="minorHAnsi"/>
          <w:b/>
          <w:bCs/>
          <w:color w:val="000000" w:themeColor="text1"/>
          <w:lang w:eastAsia="it-IT"/>
        </w:rPr>
        <w:t>Altri incarichi</w:t>
      </w:r>
    </w:p>
    <w:p w14:paraId="23522A58" w14:textId="2932DBD6" w:rsidR="00361B96" w:rsidRPr="006129F8" w:rsidRDefault="00356370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>
        <w:rPr>
          <w:rFonts w:ascii="Garamond" w:eastAsia="Times New Roman" w:hAnsi="Garamond" w:cstheme="minorHAnsi"/>
          <w:color w:val="000000" w:themeColor="text1"/>
          <w:lang w:eastAsia="it-IT"/>
        </w:rPr>
        <w:t>2015-2018. C</w:t>
      </w:r>
      <w:r w:rsidR="00361B96" w:rsidRPr="006129F8">
        <w:rPr>
          <w:rFonts w:ascii="Garamond" w:eastAsia="Times New Roman" w:hAnsi="Garamond" w:cstheme="minorHAnsi"/>
          <w:color w:val="000000" w:themeColor="text1"/>
          <w:lang w:eastAsia="it-IT"/>
        </w:rPr>
        <w:t>omponente del Comitato di gestione per il Portale "</w:t>
      </w:r>
      <w:proofErr w:type="spellStart"/>
      <w:r w:rsidR="00361B96" w:rsidRPr="006129F8">
        <w:rPr>
          <w:rFonts w:ascii="Garamond" w:eastAsia="Times New Roman" w:hAnsi="Garamond" w:cstheme="minorHAnsi"/>
          <w:color w:val="000000" w:themeColor="text1"/>
          <w:lang w:eastAsia="it-IT"/>
        </w:rPr>
        <w:t>Normattiva</w:t>
      </w:r>
      <w:proofErr w:type="spellEnd"/>
      <w:r w:rsidR="00361B96" w:rsidRPr="006129F8">
        <w:rPr>
          <w:rFonts w:ascii="Garamond" w:eastAsia="Times New Roman" w:hAnsi="Garamond" w:cstheme="minorHAnsi"/>
          <w:color w:val="000000" w:themeColor="text1"/>
          <w:lang w:eastAsia="it-IT"/>
        </w:rPr>
        <w:t>" e rappresentante del Senato nell'</w:t>
      </w:r>
      <w:r w:rsidR="00361B96" w:rsidRPr="006129F8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 xml:space="preserve">Open </w:t>
      </w:r>
      <w:proofErr w:type="spellStart"/>
      <w:r w:rsidR="00361B96" w:rsidRPr="006129F8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>Government</w:t>
      </w:r>
      <w:proofErr w:type="spellEnd"/>
      <w:r w:rsidR="00361B96" w:rsidRPr="006129F8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 xml:space="preserve"> Partnership </w:t>
      </w:r>
      <w:r w:rsidR="00361B96" w:rsidRPr="006129F8">
        <w:rPr>
          <w:rFonts w:ascii="Garamond" w:eastAsia="Times New Roman" w:hAnsi="Garamond" w:cstheme="minorHAnsi"/>
          <w:color w:val="000000" w:themeColor="text1"/>
          <w:lang w:eastAsia="it-IT"/>
        </w:rPr>
        <w:t>(OGP).</w:t>
      </w:r>
    </w:p>
    <w:p w14:paraId="4C1CD308" w14:textId="322B6A31" w:rsidR="00356370" w:rsidRDefault="00356370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>
        <w:rPr>
          <w:rFonts w:ascii="Garamond" w:eastAsia="Times New Roman" w:hAnsi="Garamond" w:cstheme="minorHAnsi"/>
          <w:color w:val="000000" w:themeColor="text1"/>
          <w:lang w:eastAsia="it-IT"/>
        </w:rPr>
        <w:t xml:space="preserve">2016-2018. Referente del Senato nel Collegio dei docenti del </w:t>
      </w:r>
      <w:r w:rsidRPr="00356370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>Master</w:t>
      </w:r>
      <w:r>
        <w:rPr>
          <w:rFonts w:ascii="Garamond" w:eastAsia="Times New Roman" w:hAnsi="Garamond" w:cstheme="minorHAnsi"/>
          <w:color w:val="000000" w:themeColor="text1"/>
          <w:lang w:eastAsia="it-IT"/>
        </w:rPr>
        <w:t xml:space="preserve"> di II livello “La lingua del diritto” dell’Università degli studi di Pavia. </w:t>
      </w:r>
    </w:p>
    <w:p w14:paraId="222F3BC6" w14:textId="3D574862" w:rsidR="00361B96" w:rsidRPr="006129F8" w:rsidRDefault="00356370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>
        <w:rPr>
          <w:rFonts w:ascii="Garamond" w:eastAsia="Times New Roman" w:hAnsi="Garamond" w:cstheme="minorHAnsi"/>
          <w:color w:val="000000" w:themeColor="text1"/>
          <w:lang w:eastAsia="it-IT"/>
        </w:rPr>
        <w:t xml:space="preserve">2021-… </w:t>
      </w:r>
      <w:r w:rsidR="00361B96" w:rsidRPr="006129F8">
        <w:rPr>
          <w:rFonts w:ascii="Garamond" w:eastAsia="Times New Roman" w:hAnsi="Garamond" w:cstheme="minorHAnsi"/>
          <w:color w:val="000000" w:themeColor="text1"/>
          <w:lang w:eastAsia="it-IT"/>
        </w:rPr>
        <w:t xml:space="preserve">Componente del Comitato scientifico dell’Osservatorio AIR. </w:t>
      </w:r>
    </w:p>
    <w:p w14:paraId="0914F18D" w14:textId="1FDC4315" w:rsidR="00361B96" w:rsidRPr="006129F8" w:rsidRDefault="00356370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>
        <w:rPr>
          <w:rFonts w:ascii="Garamond" w:eastAsia="Times New Roman" w:hAnsi="Garamond" w:cstheme="minorHAnsi"/>
          <w:color w:val="000000" w:themeColor="text1"/>
          <w:lang w:eastAsia="it-IT"/>
        </w:rPr>
        <w:t xml:space="preserve">2022-… </w:t>
      </w:r>
      <w:r w:rsidR="00361B96" w:rsidRPr="006129F8">
        <w:rPr>
          <w:rFonts w:ascii="Garamond" w:eastAsia="Times New Roman" w:hAnsi="Garamond" w:cstheme="minorHAnsi"/>
          <w:color w:val="000000" w:themeColor="text1"/>
          <w:lang w:eastAsia="it-IT"/>
        </w:rPr>
        <w:t>Componente del Comitato scientifico del Corso di alta formazione professionale sulla qualità della regolazione della LUMSA.</w:t>
      </w:r>
    </w:p>
    <w:p w14:paraId="0F9BB8D8" w14:textId="046531CC" w:rsidR="00361B96" w:rsidRPr="00361B96" w:rsidRDefault="00361B96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Tiene regolarmente lezioni e svolge esercitazioni sui temi della qualità della regolamentazione e delle tecniche di redazione e di revisione dei testi legislativi nell'ambito di corsi universitari e di formazione post-universitaria di vari Atenei italiani (Università di Pavia, Lumsa di Roma e Scuola Polizia economico-finanziaria della Guardia di finanza).</w:t>
      </w:r>
    </w:p>
    <w:p w14:paraId="640F00DF" w14:textId="77777777" w:rsidR="00361B96" w:rsidRPr="006129F8" w:rsidRDefault="00361B96" w:rsidP="00361B96">
      <w:pPr>
        <w:spacing w:after="150"/>
        <w:jc w:val="both"/>
        <w:rPr>
          <w:rFonts w:ascii="Garamond" w:eastAsia="Times New Roman" w:hAnsi="Garamond" w:cstheme="minorHAnsi"/>
          <w:b/>
          <w:bCs/>
          <w:color w:val="000000" w:themeColor="text1"/>
          <w:lang w:eastAsia="it-IT"/>
        </w:rPr>
      </w:pPr>
    </w:p>
    <w:p w14:paraId="2EA15303" w14:textId="07C8E701" w:rsidR="00361B96" w:rsidRPr="006129F8" w:rsidRDefault="00361B96" w:rsidP="00361B96">
      <w:pPr>
        <w:spacing w:after="150"/>
        <w:jc w:val="both"/>
        <w:rPr>
          <w:rFonts w:ascii="Garamond" w:eastAsia="Times New Roman" w:hAnsi="Garamond" w:cstheme="minorHAnsi"/>
          <w:b/>
          <w:bCs/>
          <w:color w:val="000000" w:themeColor="text1"/>
          <w:lang w:eastAsia="it-IT"/>
        </w:rPr>
      </w:pPr>
      <w:r w:rsidRPr="006129F8">
        <w:rPr>
          <w:rFonts w:ascii="Garamond" w:eastAsia="Times New Roman" w:hAnsi="Garamond" w:cstheme="minorHAnsi"/>
          <w:b/>
          <w:bCs/>
          <w:color w:val="000000" w:themeColor="text1"/>
          <w:lang w:eastAsia="it-IT"/>
        </w:rPr>
        <w:t>Pubblicazioni</w:t>
      </w:r>
      <w:r w:rsidR="00D30ECB">
        <w:rPr>
          <w:rFonts w:ascii="Garamond" w:eastAsia="Times New Roman" w:hAnsi="Garamond" w:cstheme="minorHAnsi"/>
          <w:b/>
          <w:bCs/>
          <w:color w:val="000000" w:themeColor="text1"/>
          <w:lang w:eastAsia="it-IT"/>
        </w:rPr>
        <w:t xml:space="preserve"> recenti</w:t>
      </w:r>
      <w:r w:rsidRPr="006129F8">
        <w:rPr>
          <w:rFonts w:ascii="Garamond" w:eastAsia="Times New Roman" w:hAnsi="Garamond" w:cstheme="minorHAnsi"/>
          <w:b/>
          <w:bCs/>
          <w:color w:val="000000" w:themeColor="text1"/>
          <w:lang w:eastAsia="it-IT"/>
        </w:rPr>
        <w:t xml:space="preserve"> </w:t>
      </w:r>
    </w:p>
    <w:p w14:paraId="7DFA786C" w14:textId="77777777" w:rsidR="00361B96" w:rsidRPr="006129F8" w:rsidRDefault="00361B96" w:rsidP="00967096">
      <w:pPr>
        <w:spacing w:after="150"/>
        <w:rPr>
          <w:rFonts w:ascii="Garamond" w:eastAsia="Times New Roman" w:hAnsi="Garamond" w:cstheme="minorHAnsi"/>
          <w:color w:val="000000" w:themeColor="text1"/>
          <w:lang w:eastAsia="it-IT"/>
        </w:rPr>
      </w:pP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br/>
      </w:r>
      <w:r w:rsidRPr="006129F8">
        <w:rPr>
          <w:rFonts w:ascii="Garamond" w:hAnsi="Garamond" w:cstheme="minorHAnsi"/>
          <w:smallCaps/>
          <w:color w:val="000000" w:themeColor="text1"/>
        </w:rPr>
        <w:t>l. tafani</w:t>
      </w:r>
      <w:r w:rsidRPr="006129F8">
        <w:rPr>
          <w:rFonts w:ascii="Garamond" w:hAnsi="Garamond" w:cstheme="minorHAnsi"/>
          <w:color w:val="000000" w:themeColor="text1"/>
        </w:rPr>
        <w:t xml:space="preserve">, </w:t>
      </w:r>
      <w:r w:rsidRPr="006129F8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>La tecnica legislativa al servizio della qualità degli atti normativi, 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in Atti del Convegno </w:t>
      </w:r>
      <w:r w:rsidRPr="006129F8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>Le parole giuste. Scrittura tecnica e cultura linguistica per il buon funzionamento della pubblica amministrazione e della giustizia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, S</w:t>
      </w:r>
      <w:bookmarkStart w:id="0" w:name="_GoBack"/>
      <w:bookmarkEnd w:id="0"/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enato della Repubblica 2017, pp. 141-155.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br/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br/>
      </w:r>
      <w:r w:rsidRPr="006129F8">
        <w:rPr>
          <w:rFonts w:ascii="Garamond" w:eastAsia="Times New Roman" w:hAnsi="Garamond" w:cstheme="minorHAnsi"/>
          <w:smallCaps/>
          <w:color w:val="000000" w:themeColor="text1"/>
          <w:lang w:eastAsia="it-IT"/>
        </w:rPr>
        <w:t>id.,</w:t>
      </w:r>
      <w:r w:rsidRPr="006129F8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 xml:space="preserve"> Il fattore linguistico nel recepimento delle direttive europee,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 in Atti del Convegno </w:t>
      </w:r>
      <w:r w:rsidRPr="006129F8">
        <w:rPr>
          <w:rFonts w:ascii="Garamond" w:eastAsia="Times New Roman" w:hAnsi="Garamond" w:cstheme="minorHAnsi"/>
          <w:i/>
          <w:iCs/>
          <w:color w:val="000000" w:themeColor="text1"/>
          <w:lang w:eastAsia="it-IT"/>
        </w:rPr>
        <w:t>Il linguaggio giuridico nell'Europa delle pluralità. Lingua italiana e percorsi di produzione e circolazione del diritto dell'Unione europea</w:t>
      </w:r>
      <w:r w:rsidRPr="006129F8">
        <w:rPr>
          <w:rFonts w:ascii="Garamond" w:eastAsia="Times New Roman" w:hAnsi="Garamond" w:cstheme="minorHAnsi"/>
          <w:color w:val="000000" w:themeColor="text1"/>
          <w:lang w:eastAsia="it-IT"/>
        </w:rPr>
        <w:t>, Senato della Repubblica 2017, pp. 203-214.</w:t>
      </w:r>
    </w:p>
    <w:p w14:paraId="0CEABB60" w14:textId="77777777" w:rsidR="00361B96" w:rsidRPr="006129F8" w:rsidRDefault="00361B96" w:rsidP="00361B96">
      <w:pPr>
        <w:spacing w:after="150"/>
        <w:jc w:val="both"/>
        <w:rPr>
          <w:rFonts w:ascii="Garamond" w:eastAsia="Times New Roman" w:hAnsi="Garamond" w:cstheme="minorHAnsi"/>
          <w:smallCaps/>
          <w:color w:val="000000" w:themeColor="text1"/>
          <w:lang w:eastAsia="it-IT"/>
        </w:rPr>
      </w:pPr>
      <w:r w:rsidRPr="006129F8">
        <w:rPr>
          <w:rFonts w:ascii="Garamond" w:eastAsia="Times New Roman" w:hAnsi="Garamond" w:cstheme="minorHAnsi"/>
          <w:smallCaps/>
          <w:color w:val="000000" w:themeColor="text1"/>
          <w:lang w:eastAsia="it-IT"/>
        </w:rPr>
        <w:t>id.</w:t>
      </w:r>
      <w:r w:rsidRPr="006129F8">
        <w:rPr>
          <w:rFonts w:ascii="Garamond" w:hAnsi="Garamond" w:cstheme="minorHAnsi"/>
        </w:rPr>
        <w:t xml:space="preserve">, </w:t>
      </w:r>
      <w:r w:rsidRPr="006129F8">
        <w:rPr>
          <w:rFonts w:ascii="Garamond" w:hAnsi="Garamond" w:cstheme="minorHAnsi"/>
          <w:i/>
        </w:rPr>
        <w:t>Tra slogan e norme: gli anglicismi nella lingua italiana del diritto e della comunicazione istituzionale, Terminologie e comunicazione istituzionale, tra multilinguismo e traduzione</w:t>
      </w:r>
      <w:r w:rsidRPr="006129F8">
        <w:rPr>
          <w:rFonts w:ascii="Garamond" w:hAnsi="Garamond" w:cstheme="minorHAnsi"/>
        </w:rPr>
        <w:t xml:space="preserve">, in </w:t>
      </w:r>
      <w:proofErr w:type="spellStart"/>
      <w:r w:rsidRPr="006129F8">
        <w:rPr>
          <w:rFonts w:ascii="Garamond" w:hAnsi="Garamond" w:cstheme="minorHAnsi"/>
          <w:i/>
        </w:rPr>
        <w:t>Publifarum</w:t>
      </w:r>
      <w:proofErr w:type="spellEnd"/>
      <w:r w:rsidRPr="006129F8">
        <w:rPr>
          <w:rFonts w:ascii="Garamond" w:hAnsi="Garamond" w:cstheme="minorHAnsi"/>
        </w:rPr>
        <w:t xml:space="preserve">, n. 31, 22 marzo 2020, reperibile all’indirizzo web: </w:t>
      </w:r>
      <w:hyperlink r:id="rId4" w:history="1">
        <w:r w:rsidRPr="006129F8">
          <w:rPr>
            <w:rStyle w:val="Collegamentoipertestuale"/>
            <w:rFonts w:ascii="Garamond" w:hAnsi="Garamond" w:cstheme="minorHAnsi"/>
          </w:rPr>
          <w:t>http://www.publifarum.farum.it/ezine_articles.php?id=482</w:t>
        </w:r>
      </w:hyperlink>
    </w:p>
    <w:p w14:paraId="24231A55" w14:textId="77777777" w:rsidR="00361B96" w:rsidRPr="006129F8" w:rsidRDefault="00361B96" w:rsidP="00361B96">
      <w:pPr>
        <w:spacing w:after="150"/>
        <w:jc w:val="both"/>
        <w:rPr>
          <w:rFonts w:ascii="Garamond" w:hAnsi="Garamond" w:cstheme="minorHAnsi"/>
          <w:color w:val="000000" w:themeColor="text1"/>
        </w:rPr>
      </w:pPr>
      <w:r w:rsidRPr="006129F8">
        <w:rPr>
          <w:rFonts w:ascii="Garamond" w:eastAsia="Times New Roman" w:hAnsi="Garamond" w:cstheme="minorHAnsi"/>
          <w:smallCaps/>
          <w:color w:val="000000" w:themeColor="text1"/>
          <w:lang w:eastAsia="it-IT"/>
        </w:rPr>
        <w:t>id.</w:t>
      </w:r>
      <w:r w:rsidRPr="006129F8">
        <w:rPr>
          <w:rFonts w:ascii="Garamond" w:hAnsi="Garamond" w:cstheme="minorHAnsi"/>
          <w:color w:val="000000" w:themeColor="text1"/>
        </w:rPr>
        <w:t xml:space="preserve">, </w:t>
      </w:r>
      <w:r w:rsidRPr="006129F8">
        <w:rPr>
          <w:rFonts w:ascii="Garamond" w:hAnsi="Garamond" w:cstheme="minorHAnsi"/>
          <w:i/>
          <w:iCs/>
          <w:color w:val="000000" w:themeColor="text1"/>
        </w:rPr>
        <w:t>La qualità della legislazione</w:t>
      </w:r>
      <w:r w:rsidRPr="006129F8">
        <w:rPr>
          <w:rFonts w:ascii="Garamond" w:hAnsi="Garamond" w:cstheme="minorHAnsi"/>
          <w:color w:val="000000" w:themeColor="text1"/>
        </w:rPr>
        <w:t xml:space="preserve">, in </w:t>
      </w:r>
      <w:r w:rsidRPr="006129F8">
        <w:rPr>
          <w:rFonts w:ascii="Garamond" w:hAnsi="Garamond" w:cstheme="minorHAnsi"/>
          <w:smallCaps/>
          <w:color w:val="000000" w:themeColor="text1"/>
        </w:rPr>
        <w:t xml:space="preserve">g. </w:t>
      </w:r>
      <w:proofErr w:type="spellStart"/>
      <w:r w:rsidRPr="006129F8">
        <w:rPr>
          <w:rFonts w:ascii="Garamond" w:hAnsi="Garamond" w:cstheme="minorHAnsi"/>
          <w:smallCaps/>
          <w:color w:val="000000" w:themeColor="text1"/>
        </w:rPr>
        <w:t>melis</w:t>
      </w:r>
      <w:proofErr w:type="spellEnd"/>
      <w:r w:rsidRPr="006129F8">
        <w:rPr>
          <w:rFonts w:ascii="Garamond" w:hAnsi="Garamond" w:cstheme="minorHAnsi"/>
          <w:smallCaps/>
          <w:color w:val="000000" w:themeColor="text1"/>
        </w:rPr>
        <w:t xml:space="preserve">, g. </w:t>
      </w:r>
      <w:proofErr w:type="spellStart"/>
      <w:r w:rsidRPr="006129F8">
        <w:rPr>
          <w:rFonts w:ascii="Garamond" w:hAnsi="Garamond" w:cstheme="minorHAnsi"/>
          <w:smallCaps/>
          <w:color w:val="000000" w:themeColor="text1"/>
        </w:rPr>
        <w:t>tosatti</w:t>
      </w:r>
      <w:proofErr w:type="spellEnd"/>
      <w:r w:rsidRPr="006129F8">
        <w:rPr>
          <w:rFonts w:ascii="Garamond" w:hAnsi="Garamond" w:cstheme="minorHAnsi"/>
          <w:color w:val="000000" w:themeColor="text1"/>
        </w:rPr>
        <w:t xml:space="preserve">, (a cura di), </w:t>
      </w:r>
      <w:r w:rsidRPr="006129F8">
        <w:rPr>
          <w:rFonts w:ascii="Garamond" w:hAnsi="Garamond" w:cstheme="minorHAnsi"/>
          <w:i/>
          <w:iCs/>
          <w:color w:val="000000" w:themeColor="text1"/>
        </w:rPr>
        <w:t>Le parole del potere. Il lessico delle istituzioni in Italia</w:t>
      </w:r>
      <w:r w:rsidRPr="006129F8">
        <w:rPr>
          <w:rFonts w:ascii="Garamond" w:hAnsi="Garamond" w:cstheme="minorHAnsi"/>
          <w:color w:val="000000" w:themeColor="text1"/>
        </w:rPr>
        <w:t>, il Mulino, Bologna, 2021, pp. 157-205.</w:t>
      </w:r>
    </w:p>
    <w:p w14:paraId="71B5FB27" w14:textId="77777777" w:rsidR="00361B96" w:rsidRPr="006129F8" w:rsidRDefault="00361B96" w:rsidP="00361B96">
      <w:pPr>
        <w:rPr>
          <w:rFonts w:ascii="Garamond" w:eastAsia="Times New Roman" w:hAnsi="Garamond" w:cstheme="minorHAnsi"/>
          <w:color w:val="000000" w:themeColor="text1"/>
          <w:lang w:val="en-US" w:eastAsia="it-IT"/>
        </w:rPr>
      </w:pPr>
      <w:r w:rsidRPr="006129F8">
        <w:rPr>
          <w:rFonts w:ascii="Garamond" w:eastAsia="Times New Roman" w:hAnsi="Garamond" w:cstheme="minorHAnsi"/>
          <w:smallCaps/>
          <w:color w:val="000000" w:themeColor="text1"/>
          <w:lang w:val="en-US" w:eastAsia="it-IT"/>
        </w:rPr>
        <w:t>id.</w:t>
      </w:r>
      <w:r w:rsidRPr="006129F8">
        <w:rPr>
          <w:rFonts w:ascii="Garamond" w:eastAsia="Times New Roman" w:hAnsi="Garamond" w:cstheme="minorHAnsi"/>
          <w:color w:val="000000" w:themeColor="text1"/>
          <w:lang w:val="en-US" w:eastAsia="it-IT"/>
        </w:rPr>
        <w:t>,</w:t>
      </w:r>
      <w:r w:rsidRPr="006129F8">
        <w:rPr>
          <w:rFonts w:ascii="Garamond" w:eastAsia="Times New Roman" w:hAnsi="Garamond" w:cstheme="minorHAnsi"/>
          <w:i/>
          <w:iCs/>
          <w:color w:val="000000" w:themeColor="text1"/>
          <w:lang w:val="en-US" w:eastAsia="it-IT"/>
        </w:rPr>
        <w:t xml:space="preserve"> Enhancing the quality of legislation: the Italian experience, </w:t>
      </w:r>
      <w:r w:rsidRPr="006129F8">
        <w:rPr>
          <w:rFonts w:ascii="Garamond" w:eastAsia="Times New Roman" w:hAnsi="Garamond" w:cstheme="minorHAnsi"/>
          <w:color w:val="000000" w:themeColor="text1"/>
          <w:lang w:val="en-US" w:eastAsia="it-IT"/>
        </w:rPr>
        <w:t xml:space="preserve">in </w:t>
      </w:r>
      <w:hyperlink r:id="rId5" w:history="1">
        <w:r w:rsidRPr="006129F8">
          <w:rPr>
            <w:rFonts w:ascii="Garamond" w:eastAsia="Times New Roman" w:hAnsi="Garamond" w:cstheme="minorHAnsi"/>
            <w:i/>
            <w:iCs/>
            <w:color w:val="000000" w:themeColor="text1"/>
            <w:kern w:val="36"/>
            <w:lang w:val="en-US" w:eastAsia="it-IT"/>
          </w:rPr>
          <w:t>The Theory and Practice of Legislation</w:t>
        </w:r>
      </w:hyperlink>
      <w:r w:rsidRPr="006129F8">
        <w:rPr>
          <w:rFonts w:ascii="Garamond" w:eastAsia="Times New Roman" w:hAnsi="Garamond" w:cstheme="minorHAnsi"/>
          <w:i/>
          <w:iCs/>
          <w:color w:val="000000" w:themeColor="text1"/>
          <w:kern w:val="36"/>
          <w:lang w:val="en-US" w:eastAsia="it-IT"/>
        </w:rPr>
        <w:t xml:space="preserve">, </w:t>
      </w:r>
      <w:proofErr w:type="spellStart"/>
      <w:r w:rsidRPr="006129F8">
        <w:rPr>
          <w:rFonts w:ascii="Garamond" w:eastAsia="Times New Roman" w:hAnsi="Garamond" w:cstheme="minorHAnsi"/>
          <w:color w:val="000000" w:themeColor="text1"/>
          <w:kern w:val="36"/>
          <w:lang w:val="en-US" w:eastAsia="it-IT"/>
        </w:rPr>
        <w:t>Taylor&amp;Francis</w:t>
      </w:r>
      <w:proofErr w:type="spellEnd"/>
      <w:r w:rsidRPr="006129F8">
        <w:rPr>
          <w:rFonts w:ascii="Garamond" w:eastAsia="Times New Roman" w:hAnsi="Garamond" w:cstheme="minorHAnsi"/>
          <w:color w:val="000000" w:themeColor="text1"/>
          <w:kern w:val="36"/>
          <w:lang w:val="en-US" w:eastAsia="it-IT"/>
        </w:rPr>
        <w:t xml:space="preserve">, </w:t>
      </w:r>
      <w:r w:rsidRPr="006129F8">
        <w:rPr>
          <w:rFonts w:ascii="Garamond" w:eastAsia="Times New Roman" w:hAnsi="Garamond" w:cstheme="minorHAnsi"/>
          <w:color w:val="000000" w:themeColor="text1"/>
          <w:lang w:val="en-US" w:eastAsia="it-IT"/>
        </w:rPr>
        <w:t>published online: 02 Feb 2022.</w:t>
      </w:r>
    </w:p>
    <w:p w14:paraId="6D7103EC" w14:textId="77777777" w:rsidR="00361B96" w:rsidRPr="006129F8" w:rsidRDefault="00361B96" w:rsidP="00361B96">
      <w:pPr>
        <w:jc w:val="both"/>
        <w:rPr>
          <w:rFonts w:ascii="Garamond" w:hAnsi="Garamond" w:cstheme="minorHAnsi"/>
          <w:smallCaps/>
          <w:color w:val="000000" w:themeColor="text1"/>
          <w:lang w:val="en-US"/>
        </w:rPr>
      </w:pPr>
    </w:p>
    <w:p w14:paraId="23B05F36" w14:textId="77777777" w:rsidR="00361B96" w:rsidRPr="006129F8" w:rsidRDefault="00361B96" w:rsidP="00361B96">
      <w:pPr>
        <w:jc w:val="both"/>
        <w:rPr>
          <w:rFonts w:ascii="Garamond" w:hAnsi="Garamond" w:cstheme="minorHAnsi"/>
          <w:color w:val="000000" w:themeColor="text1"/>
        </w:rPr>
      </w:pPr>
      <w:r w:rsidRPr="006129F8">
        <w:rPr>
          <w:rFonts w:ascii="Garamond" w:hAnsi="Garamond" w:cstheme="minorHAnsi"/>
          <w:smallCaps/>
          <w:color w:val="000000" w:themeColor="text1"/>
        </w:rPr>
        <w:t>G. Mazzantini, L. Tafani (</w:t>
      </w:r>
      <w:r w:rsidRPr="006129F8">
        <w:rPr>
          <w:rFonts w:ascii="Garamond" w:hAnsi="Garamond" w:cstheme="minorHAnsi"/>
          <w:color w:val="000000" w:themeColor="text1"/>
        </w:rPr>
        <w:t>a cura di)</w:t>
      </w:r>
      <w:r w:rsidRPr="006129F8">
        <w:rPr>
          <w:rFonts w:ascii="Garamond" w:hAnsi="Garamond" w:cstheme="minorHAnsi"/>
          <w:smallCaps/>
          <w:color w:val="000000" w:themeColor="text1"/>
        </w:rPr>
        <w:t xml:space="preserve">, </w:t>
      </w:r>
      <w:r w:rsidRPr="006129F8">
        <w:rPr>
          <w:rFonts w:ascii="Garamond" w:hAnsi="Garamond" w:cstheme="minorHAnsi"/>
          <w:i/>
          <w:iCs/>
          <w:color w:val="000000" w:themeColor="text1"/>
        </w:rPr>
        <w:t xml:space="preserve">L’analisi di impatto e gli altri strumenti per la qualità della </w:t>
      </w:r>
    </w:p>
    <w:p w14:paraId="40415270" w14:textId="77777777" w:rsidR="00361B96" w:rsidRPr="006129F8" w:rsidRDefault="00361B96" w:rsidP="00361B96">
      <w:pPr>
        <w:jc w:val="both"/>
        <w:rPr>
          <w:rFonts w:ascii="Garamond" w:hAnsi="Garamond" w:cstheme="minorHAnsi"/>
          <w:color w:val="000000" w:themeColor="text1"/>
        </w:rPr>
      </w:pPr>
      <w:r w:rsidRPr="006129F8">
        <w:rPr>
          <w:rFonts w:ascii="Garamond" w:hAnsi="Garamond" w:cstheme="minorHAnsi"/>
          <w:i/>
          <w:iCs/>
          <w:color w:val="000000" w:themeColor="text1"/>
        </w:rPr>
        <w:t>regolazione. Annuario Osservatorio AIR 2019</w:t>
      </w:r>
      <w:r w:rsidRPr="006129F8">
        <w:rPr>
          <w:rFonts w:ascii="Garamond" w:hAnsi="Garamond" w:cstheme="minorHAnsi"/>
          <w:color w:val="000000" w:themeColor="text1"/>
        </w:rPr>
        <w:t xml:space="preserve">, Editoriale Scientifica, Napoli, 2020. </w:t>
      </w:r>
    </w:p>
    <w:p w14:paraId="250478E4" w14:textId="77777777" w:rsidR="00361B96" w:rsidRPr="006129F8" w:rsidRDefault="00361B96" w:rsidP="00361B96">
      <w:pPr>
        <w:jc w:val="both"/>
        <w:rPr>
          <w:rFonts w:ascii="Garamond" w:hAnsi="Garamond" w:cstheme="minorHAnsi"/>
          <w:color w:val="000000" w:themeColor="text1"/>
        </w:rPr>
      </w:pPr>
    </w:p>
    <w:p w14:paraId="379E9360" w14:textId="77777777" w:rsidR="00361B96" w:rsidRPr="006129F8" w:rsidRDefault="00361B96" w:rsidP="00361B96">
      <w:pPr>
        <w:spacing w:after="150"/>
        <w:jc w:val="both"/>
        <w:rPr>
          <w:rFonts w:ascii="Garamond" w:eastAsia="Times New Roman" w:hAnsi="Garamond" w:cstheme="minorHAnsi"/>
          <w:color w:val="000000" w:themeColor="text1"/>
          <w:lang w:eastAsia="it-IT"/>
        </w:rPr>
      </w:pPr>
      <w:r w:rsidRPr="006129F8">
        <w:rPr>
          <w:rFonts w:ascii="Garamond" w:hAnsi="Garamond" w:cstheme="minorHAnsi"/>
          <w:smallCaps/>
          <w:color w:val="000000" w:themeColor="text1"/>
        </w:rPr>
        <w:t>G. Mazzantini, L. Tafani (</w:t>
      </w:r>
      <w:r w:rsidRPr="006129F8">
        <w:rPr>
          <w:rFonts w:ascii="Garamond" w:hAnsi="Garamond" w:cstheme="minorHAnsi"/>
          <w:color w:val="000000" w:themeColor="text1"/>
        </w:rPr>
        <w:t>a cura di)</w:t>
      </w:r>
      <w:r w:rsidRPr="006129F8">
        <w:rPr>
          <w:rFonts w:ascii="Garamond" w:hAnsi="Garamond" w:cstheme="minorHAnsi"/>
          <w:smallCaps/>
          <w:color w:val="000000" w:themeColor="text1"/>
        </w:rPr>
        <w:t xml:space="preserve">, </w:t>
      </w:r>
      <w:r w:rsidRPr="006129F8">
        <w:rPr>
          <w:rFonts w:ascii="Garamond" w:hAnsi="Garamond" w:cstheme="minorHAnsi"/>
          <w:i/>
          <w:iCs/>
          <w:color w:val="000000" w:themeColor="text1"/>
        </w:rPr>
        <w:t>L’analisi di impatto e gli altri strumenti per la qualità della regolazione. Annuario Osservatorio AIR 2020</w:t>
      </w:r>
      <w:r w:rsidRPr="006129F8">
        <w:rPr>
          <w:rFonts w:ascii="Garamond" w:hAnsi="Garamond" w:cstheme="minorHAnsi"/>
          <w:color w:val="000000" w:themeColor="text1"/>
        </w:rPr>
        <w:t xml:space="preserve">, Editoriale Scientifica, Napoli, 2022. </w:t>
      </w:r>
    </w:p>
    <w:p w14:paraId="5988ADD4" w14:textId="77777777" w:rsidR="00361B96" w:rsidRPr="006129F8" w:rsidRDefault="00361B96" w:rsidP="00361B96">
      <w:pPr>
        <w:jc w:val="both"/>
        <w:rPr>
          <w:rFonts w:ascii="Garamond" w:hAnsi="Garamond" w:cstheme="minorHAnsi"/>
          <w:smallCaps/>
          <w:color w:val="000000" w:themeColor="text1"/>
        </w:rPr>
      </w:pPr>
    </w:p>
    <w:p w14:paraId="2BF22AEB" w14:textId="38F13816" w:rsidR="00361B96" w:rsidRPr="00D30ECB" w:rsidRDefault="00361B96" w:rsidP="00361B96">
      <w:pPr>
        <w:jc w:val="both"/>
        <w:rPr>
          <w:rFonts w:ascii="Garamond" w:hAnsi="Garamond" w:cstheme="minorHAnsi"/>
          <w:bCs/>
          <w:color w:val="000000" w:themeColor="text1"/>
        </w:rPr>
      </w:pPr>
      <w:r w:rsidRPr="006129F8">
        <w:rPr>
          <w:rFonts w:ascii="Garamond" w:hAnsi="Garamond" w:cstheme="minorHAnsi"/>
          <w:smallCaps/>
          <w:color w:val="000000" w:themeColor="text1"/>
        </w:rPr>
        <w:t>L. Tafani, F. Ponte</w:t>
      </w:r>
      <w:r w:rsidRPr="006129F8">
        <w:rPr>
          <w:rFonts w:ascii="Garamond" w:hAnsi="Garamond" w:cstheme="minorHAnsi"/>
          <w:color w:val="000000" w:themeColor="text1"/>
        </w:rPr>
        <w:t xml:space="preserve">, </w:t>
      </w:r>
      <w:r w:rsidRPr="006129F8">
        <w:rPr>
          <w:rFonts w:ascii="Garamond" w:hAnsi="Garamond" w:cstheme="minorHAnsi"/>
          <w:bCs/>
          <w:i/>
          <w:iCs/>
          <w:color w:val="000000" w:themeColor="text1"/>
        </w:rPr>
        <w:t>Le tecniche legislative statali, regionali e dell’Unione europea a confronto. per un auspicabile ravvicinamento</w:t>
      </w:r>
      <w:r w:rsidRPr="006129F8">
        <w:rPr>
          <w:rFonts w:ascii="Garamond" w:hAnsi="Garamond" w:cstheme="minorHAnsi"/>
          <w:bCs/>
          <w:color w:val="000000" w:themeColor="text1"/>
        </w:rPr>
        <w:t>,</w:t>
      </w:r>
      <w:r w:rsidRPr="006129F8">
        <w:rPr>
          <w:rFonts w:ascii="Garamond" w:hAnsi="Garamond" w:cstheme="minorHAnsi"/>
          <w:i/>
          <w:iCs/>
          <w:color w:val="000000" w:themeColor="text1"/>
        </w:rPr>
        <w:t xml:space="preserve"> </w:t>
      </w:r>
      <w:r w:rsidRPr="006129F8">
        <w:rPr>
          <w:rFonts w:ascii="Garamond" w:hAnsi="Garamond" w:cstheme="minorHAnsi"/>
          <w:color w:val="000000" w:themeColor="text1"/>
        </w:rPr>
        <w:t xml:space="preserve">in </w:t>
      </w:r>
      <w:r w:rsidRPr="006129F8">
        <w:rPr>
          <w:rFonts w:ascii="Garamond" w:hAnsi="Garamond" w:cstheme="minorHAnsi"/>
          <w:i/>
          <w:iCs/>
          <w:color w:val="000000" w:themeColor="text1"/>
        </w:rPr>
        <w:t>Osservatorio sulle fonti</w:t>
      </w:r>
      <w:r w:rsidRPr="006129F8">
        <w:rPr>
          <w:rFonts w:ascii="Garamond" w:hAnsi="Garamond" w:cstheme="minorHAnsi"/>
          <w:color w:val="000000" w:themeColor="text1"/>
        </w:rPr>
        <w:t xml:space="preserve">, n. 1/2022. Disponibile in: </w:t>
      </w:r>
      <w:hyperlink r:id="rId6" w:history="1">
        <w:r w:rsidRPr="006129F8">
          <w:rPr>
            <w:rStyle w:val="Collegamentoipertestuale"/>
            <w:rFonts w:ascii="Garamond" w:hAnsi="Garamond" w:cstheme="minorHAnsi"/>
            <w:color w:val="000000" w:themeColor="text1"/>
          </w:rPr>
          <w:t>http://www.osservatoriosullefonti.it</w:t>
        </w:r>
      </w:hyperlink>
      <w:r w:rsidRPr="006129F8">
        <w:rPr>
          <w:rFonts w:ascii="Garamond" w:hAnsi="Garamond" w:cstheme="minorHAnsi"/>
          <w:color w:val="000000" w:themeColor="text1"/>
        </w:rPr>
        <w:t xml:space="preserve"> (in corso di pubblicazione</w:t>
      </w:r>
      <w:r w:rsidR="00D30ECB">
        <w:rPr>
          <w:rFonts w:ascii="Garamond" w:hAnsi="Garamond" w:cstheme="minorHAnsi"/>
          <w:color w:val="000000" w:themeColor="text1"/>
        </w:rPr>
        <w:t>).</w:t>
      </w:r>
    </w:p>
    <w:sectPr w:rsidR="00361B96" w:rsidRPr="00D30ECB" w:rsidSect="00FD09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6"/>
    <w:rsid w:val="00356370"/>
    <w:rsid w:val="00361B96"/>
    <w:rsid w:val="003E3B95"/>
    <w:rsid w:val="00967096"/>
    <w:rsid w:val="00D30ECB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A3FD"/>
  <w15:chartTrackingRefBased/>
  <w15:docId w15:val="{AEBE4A6E-F1AE-9C46-9B38-9BFDB0B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B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ervatoriosullefonti.it" TargetMode="External"/><Relationship Id="rId5" Type="http://schemas.openxmlformats.org/officeDocument/2006/relationships/hyperlink" Target="https://www.tandfonline.com/rtpl20" TargetMode="External"/><Relationship Id="rId4" Type="http://schemas.openxmlformats.org/officeDocument/2006/relationships/hyperlink" Target="http://www.publifarum.farum.it/ezine_articles.php?id=4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Tafani</dc:creator>
  <cp:keywords/>
  <dc:description/>
  <cp:lastModifiedBy>Nicoletta Rangone</cp:lastModifiedBy>
  <cp:revision>2</cp:revision>
  <dcterms:created xsi:type="dcterms:W3CDTF">2022-03-24T16:43:00Z</dcterms:created>
  <dcterms:modified xsi:type="dcterms:W3CDTF">2022-03-24T16:43:00Z</dcterms:modified>
</cp:coreProperties>
</file>